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22B2F">
      <w:pPr>
        <w:spacing w:after="0"/>
        <w:ind w:left="0" w:leftChars="-100" w:hanging="220" w:firstLineChars="0"/>
        <w:jc w:val="both"/>
        <w:rPr>
          <w:rFonts w:hint="default"/>
          <w:lang w:val="ru-RU"/>
        </w:rPr>
      </w:pPr>
      <w:bookmarkStart w:id="1" w:name="_GoBack"/>
      <w:r>
        <w:rPr>
          <w:rFonts w:hint="default"/>
          <w:lang w:val="ru-RU"/>
        </w:rPr>
        <w:drawing>
          <wp:inline distT="0" distB="0" distL="114300" distR="114300">
            <wp:extent cx="5935345" cy="1562735"/>
            <wp:effectExtent l="0" t="0" r="8255" b="12065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9FCE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B4C9F">
      <w:pPr>
        <w:spacing w:after="0"/>
        <w:ind w:left="33" w:right="19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об оплате труда в </w:t>
      </w:r>
    </w:p>
    <w:p w14:paraId="4FD7421B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bookmarkStart w:id="0" w:name="_Hlk174449563"/>
      <w:r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Государственном бюджетном общеобразовательном учреждении </w:t>
      </w:r>
    </w:p>
    <w:p w14:paraId="100FF78E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«Многопольский учебно-воспитательный комплекс </w:t>
      </w:r>
    </w:p>
    <w:p w14:paraId="4F98ABB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Амвросиевского муниципального округа»</w:t>
      </w:r>
    </w:p>
    <w:p w14:paraId="2F00A755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Донецкой Народной Республики</w:t>
      </w:r>
    </w:p>
    <w:bookmarkEnd w:id="0"/>
    <w:p w14:paraId="47203A86">
      <w:pPr>
        <w:spacing w:after="0"/>
        <w:ind w:left="33" w:right="19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20DEE">
      <w:pPr>
        <w:spacing w:after="0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48D48D7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подп. «д», п. 2 ч. 2 ст. 29 и п. 7 ст. 47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года № 273-ФЗ «Об образовании в Российской Федерации», ст.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129, 135, 333, 334, 335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нормативными актами регионального; Уставом </w:t>
      </w:r>
      <w:r>
        <w:rPr>
          <w:rFonts w:ascii="Times New Roman" w:hAnsi="Times New Roman" w:cs="Times New Roman"/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иными нормативными актами и предусматривает порядок и условия оплаты труда, порядок расходования средств на оплату труда, систему материального стимулирования и поощрения работников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3030BA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вступает в силу в день его утверждения и действует до момента отмены. </w:t>
      </w:r>
    </w:p>
    <w:p w14:paraId="02CA3A7F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Настоящее положение не регулирует отношения по поводу назначения материальной помощи. </w:t>
      </w:r>
    </w:p>
    <w:p w14:paraId="2332D568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Положение направлено на мотивацию работников образовательной организации к качественному выполнению своих профессиональных обязанностей, предусмотренных должностными инструкциями, проявления творческого и ответственного отношения к труду, повышению качества и результативности выполняемой работы, активности в выполнении задач образовательной организации, обеспечения условий для качественной реализации образовательных программ и программы воспитания обучающихся, укрепление социального статуса работников образовательной организации.  </w:t>
      </w:r>
    </w:p>
    <w:p w14:paraId="7031C442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 оплатой труда понимаются денежные средства, выплачиваемые работникам организации за выполнение ими трудовой функции по определенной должности, а также иные выплаты (доплаты, надбавки, компенсационные, стимулирующие и поощрительные выплаты).</w:t>
      </w:r>
    </w:p>
    <w:p w14:paraId="404301C7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Оплата труда работников образовательной организации включает: заработную плату, состоящую из оклада (должностного оклада), а также доплат и надбавок; стимулирующие и поощрительные выплаты за надлежащее выполнение трудовых обязанностей, производимые в соответствии с настоящим Положением.</w:t>
      </w:r>
    </w:p>
    <w:p w14:paraId="65A7F50D">
      <w:pPr>
        <w:spacing w:after="0"/>
        <w:ind w:right="19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Фонд оплаты труда работников образовательной организации формируется из объема бюджетных финансовых средств выделенных на выполнение государственного задания (государственных работ) образовательной организации, средств, формируемых из оплаты образовательных услуг, а также за счет средств оплаты за дополнительные образовательные услуги, в соответствии с утвержденным 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Планом финансово-хозяйственной деятельности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образовательной организации.</w:t>
      </w:r>
    </w:p>
    <w:p w14:paraId="7770D1AE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</w:p>
    <w:p w14:paraId="3E28F7DF">
      <w:pPr>
        <w:pStyle w:val="2"/>
        <w:spacing w:line="276" w:lineRule="auto"/>
        <w:ind w:left="116" w:right="58" w:firstLine="709"/>
        <w:contextualSpacing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1637030</wp:posOffset>
            </wp:positionV>
            <wp:extent cx="3175" cy="635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auto"/>
          <w:sz w:val="24"/>
          <w:szCs w:val="24"/>
          <w:lang w:val="ru-RU"/>
        </w:rPr>
        <w:t>2. Система оплаты труда</w:t>
      </w:r>
    </w:p>
    <w:p w14:paraId="44BA02FF">
      <w:pPr>
        <w:spacing w:after="0"/>
        <w:ind w:left="33"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Под системой оплаты труда в настоящем Положении понимается способ расчета размеров вознаграждения, подлежащего уплате работникам образовательной организации выполнение ими трудовых функций.</w:t>
      </w:r>
    </w:p>
    <w:p w14:paraId="2F11DA70">
      <w:pPr>
        <w:spacing w:after="0"/>
        <w:ind w:left="33"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образовательной организации устанавливается система оплаты труда, при которой величина заработной платы работника зависит от фактически отработанного времени, согласно данным учета, ведущегося в образовательной организации. </w:t>
      </w:r>
    </w:p>
    <w:p w14:paraId="5AF5C072">
      <w:pPr>
        <w:spacing w:after="0"/>
        <w:ind w:left="33"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Оплата труда работников образовательной организации состоит из постоянной и переменной частей.</w:t>
      </w:r>
    </w:p>
    <w:p w14:paraId="20E4B360">
      <w:pPr>
        <w:spacing w:after="0"/>
        <w:ind w:left="33"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Постоянная часть оплаты труда является гарантированным денежным вознаграждением за выполнение работником возложенных на него трудовых функций и представляет должностной оклад работника, установленный ему в соответствии со штатным расписанием.</w:t>
      </w:r>
    </w:p>
    <w:p w14:paraId="00C23B2D">
      <w:pPr>
        <w:spacing w:after="0"/>
        <w:ind w:left="33"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Переменной частью оплаты труда являются премии, надбавки и иные выплаты, назначаемые в соответствии с настоящим Положением.</w:t>
      </w:r>
    </w:p>
    <w:p w14:paraId="3664E3E5">
      <w:pPr>
        <w:spacing w:after="0"/>
        <w:ind w:left="33" w:right="19"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787AB06">
      <w:pPr>
        <w:spacing w:after="0"/>
        <w:ind w:left="709" w:righ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Оклад (должностной оклад)</w:t>
      </w:r>
    </w:p>
    <w:p w14:paraId="0AB8DA87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Под окладом (должностным окладом) в соответствии со ст. 129 ТК РФ понимается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 </w:t>
      </w:r>
    </w:p>
    <w:p w14:paraId="70A41C3F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Размер оклада (должностного оклада) работника устанавливается в трудовом договоре в соответствии с действующим штатным расписанием и не может быть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ниже установленного федеральным законом минимального размера оплаты труда.</w:t>
      </w:r>
    </w:p>
    <w:p w14:paraId="62DC875C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Размер оклада (должностного оклада) может повышаться по решению работодателя, оформленному приказом по образовательной организации и дополнительным соглашением с сотрудником.</w:t>
      </w:r>
    </w:p>
    <w:p w14:paraId="4141B29B">
      <w:pPr>
        <w:spacing w:after="0"/>
        <w:ind w:right="19" w:firstLine="709"/>
        <w:rPr>
          <w:rFonts w:ascii="Times New Roman" w:hAnsi="Times New Roman" w:cs="Times New Roman"/>
          <w:b/>
          <w:sz w:val="24"/>
          <w:szCs w:val="24"/>
        </w:rPr>
      </w:pPr>
    </w:p>
    <w:p w14:paraId="106DCA84">
      <w:pPr>
        <w:spacing w:after="0"/>
        <w:ind w:right="1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Доплаты и надбавки</w:t>
      </w:r>
    </w:p>
    <w:p w14:paraId="5EFED423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Работникам образовательной организации в соответствии с действующим законодательством устанавливаются следующие доплаты: </w:t>
      </w:r>
    </w:p>
    <w:p w14:paraId="711D26AB">
      <w:pPr>
        <w:spacing w:after="0"/>
        <w:ind w:right="95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сверхурочную работу;</w:t>
      </w:r>
    </w:p>
    <w:p w14:paraId="066153CD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в выходные и праздничные дни;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8A5AE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в ночную смену;</w:t>
      </w:r>
    </w:p>
    <w:p w14:paraId="3858E59E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выполнение обязанностей временно отсутствующего работника;</w:t>
      </w:r>
    </w:p>
    <w:p w14:paraId="456DBD55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совмещение профессий (должностей);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5450A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расширение зон обслуживания;</w:t>
      </w:r>
    </w:p>
    <w:p w14:paraId="4B365E55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в условиях, отклоняющихся от нормальных</w:t>
      </w:r>
    </w:p>
    <w:p w14:paraId="7FCDCA93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 работу в выходные и праздничные дни работникам с повременной оплатой труда устанавливаются выплаты в соответствии с Трудовым Кодексом РФ.</w:t>
      </w:r>
    </w:p>
    <w:p w14:paraId="14E17898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 работника вместо указанных выше выплат ему могут 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предоставляться дополнительные дни отдыха.</w:t>
      </w:r>
    </w:p>
    <w:p w14:paraId="28DC1731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 выполнение обязанностей временно отсутствующего педагогического работника устанавливается следующая доплата</w:t>
      </w:r>
    </w:p>
    <w:p w14:paraId="1E728094">
      <w:pPr>
        <w:spacing w:after="0"/>
        <w:ind w:right="19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Должность - доплата </w:t>
      </w:r>
    </w:p>
    <w:p w14:paraId="29BB7613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4.4. За совмещение профессий (должностей) устанавливается доплата в размере, установленном по соглашению сторон.</w:t>
      </w:r>
    </w:p>
    <w:p w14:paraId="17AD753F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4001770</wp:posOffset>
            </wp:positionH>
            <wp:positionV relativeFrom="page">
              <wp:posOffset>664845</wp:posOffset>
            </wp:positionV>
            <wp:extent cx="3175" cy="3175"/>
            <wp:effectExtent l="0" t="0" r="0" b="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4.5. Совокупный размер доплат, установленных работнику, максимальным размером не ограничивается.</w:t>
      </w:r>
    </w:p>
    <w:p w14:paraId="7477AA28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Работникам образовательной организации могут устанавливаться следующие виды надбавок к заработной плате:</w:t>
      </w:r>
    </w:p>
    <w:p w14:paraId="2DC7AA2E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интенсивность и напряженность труда;</w:t>
      </w:r>
    </w:p>
    <w:p w14:paraId="5FD8850B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квалификационную категорию педагогического работника;</w:t>
      </w:r>
    </w:p>
    <w:p w14:paraId="1074EB23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виды надбавок в соответствии с нормативными актами образовательной организации.</w:t>
      </w:r>
    </w:p>
    <w:p w14:paraId="706D6605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Надбавки назначаются за выполнение следующих функций:</w:t>
      </w:r>
    </w:p>
    <w:p w14:paraId="2FEFB285">
      <w:pPr>
        <w:spacing w:after="0"/>
        <w:ind w:right="19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Перечислить. Например:</w:t>
      </w:r>
    </w:p>
    <w:p w14:paraId="19A076F4">
      <w:pPr>
        <w:spacing w:after="0"/>
        <w:ind w:right="19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координатор электронного журнала;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31ED">
      <w:pPr>
        <w:spacing w:after="0"/>
        <w:ind w:right="19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руководитель предметной комиссии;</w:t>
      </w:r>
    </w:p>
    <w:p w14:paraId="6E882F48">
      <w:pPr>
        <w:spacing w:after="0"/>
        <w:ind w:right="19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координатор внеурочной деятельности и пр.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AC35B">
      <w:pPr>
        <w:spacing w:after="0"/>
        <w:ind w:right="1632"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B7570F8">
      <w:pPr>
        <w:spacing w:after="0"/>
        <w:ind w:right="-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и условия установления выплат стимулирующего характера</w:t>
      </w:r>
    </w:p>
    <w:p w14:paraId="437BBE20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целях повышения мотивации качества работы и поощрения за результаты труда в образовательной организации могут устанавливаться следующие выплаты стимулирующего характера:</w:t>
      </w:r>
    </w:p>
    <w:p w14:paraId="7D3997E8">
      <w:pPr>
        <w:spacing w:after="0"/>
        <w:ind w:right="134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стимулирующая выплата за результативность работы по итогам месяца;</w:t>
      </w:r>
    </w:p>
    <w:p w14:paraId="258587A9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стимулирующая выплата за выполнение плана работы организации - премии.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212EC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Стимулирующая выплата за результативность работы в предыдущем периоде выплачивается по результатам участия работника в достижении следующих результатов образовательной деятельности:</w:t>
      </w:r>
    </w:p>
    <w:p w14:paraId="608CA7DF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положительную динамику результатов образовательной деятельности;</w:t>
      </w:r>
    </w:p>
    <w:p w14:paraId="0F110270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и отличие обучающихся в мероприятиях различного уровня;</w:t>
      </w:r>
    </w:p>
    <w:p w14:paraId="1A972FCC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создании методических пособий и рекомендаций</w:t>
      </w:r>
    </w:p>
    <w:p w14:paraId="351165EC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Сотрудники образовательной организации могут быть премированы:</w:t>
      </w:r>
    </w:p>
    <w:p w14:paraId="777FED24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качественное выполнение разовых и постоянных поручений;</w:t>
      </w:r>
    </w:p>
    <w:p w14:paraId="01B97930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выполнение работы, оказавшей положительное влияние на работу образовательной организации;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AEAB3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иные виды деятельности, связанные с выполнением уставных задач образовательной организации.</w:t>
      </w:r>
    </w:p>
    <w:p w14:paraId="77BA9AB6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Размер премии зависит от конкретных показателей производственной деятельности и может устанавливаться как в абсолютном значении, так и в процентном отношении к окладу (должностному окладу).</w:t>
      </w:r>
    </w:p>
    <w:p w14:paraId="4CCE261D">
      <w:pPr>
        <w:spacing w:after="0"/>
        <w:ind w:right="19" w:firstLine="709"/>
        <w:rPr>
          <w:rFonts w:ascii="Times New Roman" w:hAnsi="Times New Roman" w:cs="Times New Roman"/>
          <w:b/>
          <w:sz w:val="24"/>
          <w:szCs w:val="24"/>
        </w:rPr>
      </w:pPr>
    </w:p>
    <w:p w14:paraId="1B98F2E4">
      <w:pPr>
        <w:spacing w:after="0"/>
        <w:ind w:right="1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Начисление и выплата заработной платы</w:t>
      </w:r>
    </w:p>
    <w:p w14:paraId="55AACBD3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Основанием для начисления заработной платы являются: штатное расписание, трудовой договор, табель учета рабочего времени и приказы, подписанные руководителем образовательной организации</w:t>
      </w:r>
    </w:p>
    <w:p w14:paraId="145A43EF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Табели учета рабочего времени заполняют и подписывают назначенные для этого сотрудники структурных подразделений. Руководитель структурного подразделения представляет табель в кадровую службу образовательной организации.</w:t>
      </w:r>
    </w:p>
    <w:p w14:paraId="65ECD8FA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Заработная плата начисляется за фактически отработанное время и перечисляется указанный работником счет в банке на условиях, 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предусмотренных трудовым договором.</w:t>
      </w:r>
    </w:p>
    <w:p w14:paraId="4A4CCEA7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Моментом исполнения обязательств об оплате труда образовательной организации является представление надлежащих документов в банковскую организацию. 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0C2B7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Бухгалтерия формирует расчетный лист каждого сотрудника, и направляет его по адресу электронной почты сотрудника.</w:t>
      </w:r>
    </w:p>
    <w:p w14:paraId="555AF5D1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Выплата заработной платы производится два раза в месяц: 20-го числа расчетного месяца – за первую половину месяца и 5-го числа месяца, следующего за отработанным – окончательный расчет за месяц.</w:t>
      </w:r>
    </w:p>
    <w:p w14:paraId="1D953F33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Если срок выплаты зарплаты выпадает на выходной или нерабочий праздничный день, она производится накануне этого дня.</w:t>
      </w:r>
    </w:p>
    <w:p w14:paraId="01A64D11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Удержания из заработной платы работника производятся только в случаях, предусмотренных Трудовым кодексом РФ и иными федеральными законами, а также по личному заявлению работника или по решению судебных органов.</w:t>
      </w:r>
    </w:p>
    <w:p w14:paraId="63E727DE">
      <w:pPr>
        <w:spacing w:after="0"/>
        <w:ind w:right="1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Информация о всех начислениях и удержаниях денежных средств представляется только сотруднику или лицам, имеющим право на получение такой информации в соответствии с действующим законодательством.</w:t>
      </w:r>
    </w:p>
    <w:p w14:paraId="35F14D50">
      <w:pPr>
        <w:spacing w:after="0"/>
        <w:ind w:right="1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Оплата отпуска работникам производится не позднее, чем за три дня до его начала.</w:t>
      </w:r>
    </w:p>
    <w:p w14:paraId="052FB6F4">
      <w:pPr>
        <w:spacing w:after="0"/>
        <w:ind w:right="5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14:paraId="128A6DA9">
      <w:pPr>
        <w:spacing w:after="0"/>
        <w:ind w:right="19" w:firstLine="709"/>
        <w:rPr>
          <w:rFonts w:ascii="Times New Roman" w:hAnsi="Times New Roman" w:cs="Times New Roman"/>
          <w:b/>
          <w:sz w:val="24"/>
          <w:szCs w:val="24"/>
        </w:rPr>
      </w:pPr>
    </w:p>
    <w:p w14:paraId="639D96A7">
      <w:pPr>
        <w:spacing w:after="0"/>
        <w:ind w:right="1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Ответственность работодателя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4090670</wp:posOffset>
            </wp:positionH>
            <wp:positionV relativeFrom="page">
              <wp:posOffset>685800</wp:posOffset>
            </wp:positionV>
            <wp:extent cx="3175" cy="6350"/>
            <wp:effectExtent l="0" t="0" r="0" b="0"/>
            <wp:wrapTopAndBottom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7FC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За задержку выплаты заработной платы работодатель несет ответственность в соответствии с законодательством Российской Федерации.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DF"/>
    <w:rsid w:val="003E30DF"/>
    <w:rsid w:val="006C0B77"/>
    <w:rsid w:val="006F4427"/>
    <w:rsid w:val="008242FF"/>
    <w:rsid w:val="00870751"/>
    <w:rsid w:val="00922C48"/>
    <w:rsid w:val="00A53B66"/>
    <w:rsid w:val="00B915B7"/>
    <w:rsid w:val="00EA59DF"/>
    <w:rsid w:val="00EE4070"/>
    <w:rsid w:val="00F12C76"/>
    <w:rsid w:val="62C1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0" w:line="259" w:lineRule="auto"/>
      <w:ind w:left="53" w:hanging="1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30"/>
      <w:szCs w:val="22"/>
      <w:lang w:val="en-US" w:eastAsia="en-US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="Times New Roman" w:hAnsi="Times New Roman" w:eastAsia="Times New Roman" w:cs="Times New Roman"/>
      <w:color w:val="000000"/>
      <w:kern w:val="0"/>
      <w:sz w:val="30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1398</Words>
  <Characters>7971</Characters>
  <Lines>66</Lines>
  <Paragraphs>18</Paragraphs>
  <TotalTime>1</TotalTime>
  <ScaleCrop>false</ScaleCrop>
  <LinksUpToDate>false</LinksUpToDate>
  <CharactersWithSpaces>9351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2024-08-14T06:09:00Z</dcterms:created>
  <dc:creator>Пользователь</dc:creator>
  <cp:lastModifiedBy>Ольга</cp:lastModifiedBy>
  <cp:lastPrinted>2024-08-14T06:24:00Z</cp:lastPrinted>
  <dcterms:modified xsi:type="dcterms:W3CDTF">2024-08-14T08:47:44Z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D503844D836D495E85FB64F153492F97_12</vt:lpwstr>
  </property>
</Properties>
</file>